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2835"/>
        <w:gridCol w:w="4961"/>
      </w:tblGrid>
      <w:tr w:rsidR="007E4C52" w:rsidRPr="007E4C52" w:rsidTr="00E45F8B">
        <w:trPr>
          <w:jc w:val="center"/>
        </w:trPr>
        <w:tc>
          <w:tcPr>
            <w:tcW w:w="16013" w:type="dxa"/>
            <w:gridSpan w:val="6"/>
            <w:shd w:val="clear" w:color="auto" w:fill="auto"/>
            <w:vAlign w:val="center"/>
          </w:tcPr>
          <w:p w:rsidR="007E4C52" w:rsidRPr="007E4C52" w:rsidRDefault="007E4C52" w:rsidP="007E4C52">
            <w:pPr>
              <w:rPr>
                <w:b/>
              </w:rPr>
            </w:pPr>
            <w:r w:rsidRPr="007E4C52">
              <w:rPr>
                <w:b/>
                <w:i/>
              </w:rPr>
              <w:t xml:space="preserve">Nazwa dokumentu: Centrum </w:t>
            </w:r>
            <w:proofErr w:type="spellStart"/>
            <w:r w:rsidRPr="007E4C52">
              <w:rPr>
                <w:b/>
                <w:i/>
              </w:rPr>
              <w:t>Reputacyjne</w:t>
            </w:r>
            <w:proofErr w:type="spellEnd"/>
            <w:r w:rsidRPr="007E4C52">
              <w:rPr>
                <w:b/>
                <w:i/>
              </w:rPr>
              <w:t xml:space="preserve"> Komunikacji Elektronicznej (CRKE) </w:t>
            </w:r>
            <w:r w:rsidRPr="007E4C52">
              <w:rPr>
                <w:b/>
              </w:rPr>
              <w:t>[OPIS ZAŁOŻEŃ PROJEKTU INFORMATYCZNEGO]</w:t>
            </w:r>
          </w:p>
        </w:tc>
      </w:tr>
      <w:tr w:rsidR="007E4C52" w:rsidRPr="007E4C52" w:rsidTr="00E45F8B">
        <w:trPr>
          <w:jc w:val="center"/>
        </w:trPr>
        <w:tc>
          <w:tcPr>
            <w:tcW w:w="562" w:type="dxa"/>
            <w:shd w:val="clear" w:color="auto" w:fill="auto"/>
            <w:vAlign w:val="center"/>
          </w:tcPr>
          <w:p w:rsidR="007E4C52" w:rsidRPr="007E4C52" w:rsidRDefault="007E4C52" w:rsidP="007E4C52">
            <w:pPr>
              <w:rPr>
                <w:b/>
              </w:rPr>
            </w:pPr>
            <w:r w:rsidRPr="007E4C52">
              <w:rPr>
                <w:b/>
              </w:rPr>
              <w:t>Lp.</w:t>
            </w:r>
          </w:p>
        </w:tc>
        <w:tc>
          <w:tcPr>
            <w:tcW w:w="1134" w:type="dxa"/>
            <w:shd w:val="clear" w:color="auto" w:fill="auto"/>
            <w:vAlign w:val="center"/>
          </w:tcPr>
          <w:p w:rsidR="007E4C52" w:rsidRPr="007E4C52" w:rsidRDefault="007E4C52" w:rsidP="007E4C52">
            <w:pPr>
              <w:rPr>
                <w:b/>
              </w:rPr>
            </w:pPr>
            <w:r w:rsidRPr="007E4C52">
              <w:rPr>
                <w:b/>
              </w:rPr>
              <w:t>Organ wnoszący uwagi</w:t>
            </w:r>
          </w:p>
        </w:tc>
        <w:tc>
          <w:tcPr>
            <w:tcW w:w="1843" w:type="dxa"/>
            <w:shd w:val="clear" w:color="auto" w:fill="auto"/>
            <w:vAlign w:val="center"/>
          </w:tcPr>
          <w:p w:rsidR="007E4C52" w:rsidRPr="007E4C52" w:rsidRDefault="007E4C52" w:rsidP="007E4C52">
            <w:pPr>
              <w:rPr>
                <w:b/>
              </w:rPr>
            </w:pPr>
            <w:r w:rsidRPr="007E4C52">
              <w:rPr>
                <w:b/>
              </w:rPr>
              <w:t>Jednostka redakcyjna, do której wnoszone są uwagi</w:t>
            </w:r>
          </w:p>
        </w:tc>
        <w:tc>
          <w:tcPr>
            <w:tcW w:w="4678" w:type="dxa"/>
            <w:shd w:val="clear" w:color="auto" w:fill="auto"/>
            <w:vAlign w:val="center"/>
          </w:tcPr>
          <w:p w:rsidR="007E4C52" w:rsidRPr="007E4C52" w:rsidRDefault="007E4C52" w:rsidP="007E4C52">
            <w:pPr>
              <w:rPr>
                <w:b/>
              </w:rPr>
            </w:pPr>
            <w:r w:rsidRPr="007E4C52">
              <w:rPr>
                <w:b/>
              </w:rPr>
              <w:t>Treść uwagi</w:t>
            </w:r>
          </w:p>
        </w:tc>
        <w:tc>
          <w:tcPr>
            <w:tcW w:w="2835" w:type="dxa"/>
            <w:shd w:val="clear" w:color="auto" w:fill="auto"/>
            <w:vAlign w:val="center"/>
          </w:tcPr>
          <w:p w:rsidR="007E4C52" w:rsidRPr="007E4C52" w:rsidRDefault="007E4C52" w:rsidP="007E4C52">
            <w:pPr>
              <w:rPr>
                <w:b/>
              </w:rPr>
            </w:pPr>
            <w:r w:rsidRPr="007E4C52">
              <w:rPr>
                <w:b/>
              </w:rPr>
              <w:t>Propozycja zmian zapisu</w:t>
            </w:r>
          </w:p>
        </w:tc>
        <w:tc>
          <w:tcPr>
            <w:tcW w:w="4961" w:type="dxa"/>
            <w:vAlign w:val="center"/>
          </w:tcPr>
          <w:p w:rsidR="007E4C52" w:rsidRPr="007E4C52" w:rsidRDefault="007E4C52" w:rsidP="007E4C52">
            <w:pPr>
              <w:rPr>
                <w:b/>
              </w:rPr>
            </w:pPr>
            <w:r w:rsidRPr="007E4C52">
              <w:rPr>
                <w:b/>
              </w:rPr>
              <w:t>Odniesienie do uwagi</w:t>
            </w:r>
          </w:p>
        </w:tc>
      </w:tr>
      <w:tr w:rsidR="007E4C52" w:rsidRPr="007E4C52" w:rsidTr="00E45F8B">
        <w:trPr>
          <w:jc w:val="center"/>
        </w:trPr>
        <w:tc>
          <w:tcPr>
            <w:tcW w:w="562" w:type="dxa"/>
            <w:shd w:val="clear" w:color="auto" w:fill="auto"/>
          </w:tcPr>
          <w:p w:rsidR="007E4C52" w:rsidRPr="007E4C52" w:rsidRDefault="007E4C52" w:rsidP="007E4C52">
            <w:pPr>
              <w:rPr>
                <w:b/>
              </w:rPr>
            </w:pPr>
            <w:r w:rsidRPr="007E4C52">
              <w:rPr>
                <w:b/>
              </w:rPr>
              <w:t>1</w:t>
            </w:r>
          </w:p>
        </w:tc>
        <w:tc>
          <w:tcPr>
            <w:tcW w:w="1134" w:type="dxa"/>
            <w:shd w:val="clear" w:color="auto" w:fill="auto"/>
          </w:tcPr>
          <w:p w:rsidR="007E4C52" w:rsidRPr="007E4C52" w:rsidRDefault="007E4C52" w:rsidP="007E4C52">
            <w:pPr>
              <w:rPr>
                <w:b/>
              </w:rPr>
            </w:pPr>
            <w:proofErr w:type="spellStart"/>
            <w:r w:rsidRPr="007E4C52">
              <w:rPr>
                <w:b/>
              </w:rPr>
              <w:t>MFiPR</w:t>
            </w:r>
            <w:proofErr w:type="spellEnd"/>
          </w:p>
        </w:tc>
        <w:tc>
          <w:tcPr>
            <w:tcW w:w="1843" w:type="dxa"/>
            <w:shd w:val="clear" w:color="auto" w:fill="auto"/>
          </w:tcPr>
          <w:p w:rsidR="007E4C52" w:rsidRPr="007E4C52" w:rsidRDefault="007E4C52" w:rsidP="007E4C52">
            <w:r w:rsidRPr="007E4C52">
              <w:t>2.1 Cele i korzyści wynikające z projektu</w:t>
            </w:r>
          </w:p>
        </w:tc>
        <w:tc>
          <w:tcPr>
            <w:tcW w:w="4678" w:type="dxa"/>
            <w:shd w:val="clear" w:color="auto" w:fill="auto"/>
          </w:tcPr>
          <w:p w:rsidR="007E4C52" w:rsidRPr="007E4C52" w:rsidRDefault="007E4C52" w:rsidP="007E4C52">
            <w:r w:rsidRPr="007E4C52">
              <w:t xml:space="preserve">W poprzedniej wersji projektu podano, iż wartość wskaźnika „Liczba załatwionych spraw poprzez udostępnioną on-line usługę publiczną” wyniesie 250 szt./rok, a w obecnej wersji zmieniono jego wartość na 7600 szt./rok. </w:t>
            </w:r>
          </w:p>
          <w:p w:rsidR="007E4C52" w:rsidRPr="007E4C52" w:rsidRDefault="007E4C52" w:rsidP="007E4C52">
            <w:r w:rsidRPr="007E4C52">
              <w:t xml:space="preserve">Wartość 250 szt./rok jest obecnie wpisana do SZOOP POPC. Jest to znaczna zmiana wartości. Ta zmiana wymaga uzasadnienia. Chodzi o podanie informacji, dlaczego zwiększono wartość docelową wskaźnika. Proszę także podać informację, czy przeprowadzono analizę popytu na planowane usługi. </w:t>
            </w:r>
            <w:r w:rsidRPr="00200C6E">
              <w:t>Jakie przyjęto założenia i sposoby na upowszechnienie usługi.</w:t>
            </w:r>
          </w:p>
          <w:p w:rsidR="007E4C52" w:rsidRPr="007E4C52" w:rsidRDefault="007E4C52" w:rsidP="007E4C52">
            <w:r w:rsidRPr="007E4C52">
              <w:t>Należy mieć też na uwadze, że wartość docelowa wskaźnika produktu ma wyrażać wartość, jaką beneficjent planuje osiągnąć do 12 miesięcy po zakończeniu realizacji projektu. Czyli, powinna ona dotyczyć spodziewanego użytkowania usługi w ciągu pierwszego roku po jej wdrożeniu.</w:t>
            </w:r>
          </w:p>
        </w:tc>
        <w:tc>
          <w:tcPr>
            <w:tcW w:w="2835" w:type="dxa"/>
            <w:shd w:val="clear" w:color="auto" w:fill="auto"/>
          </w:tcPr>
          <w:p w:rsidR="007E4C52" w:rsidRPr="007E4C52" w:rsidRDefault="007E4C52" w:rsidP="007E4C52">
            <w:r w:rsidRPr="007E4C52">
              <w:t>Proszę o podanie uzasadnienia znacznego zwiększenia wartości wskaźnika rezultatu lub jego ewentualną zmianę.</w:t>
            </w:r>
          </w:p>
        </w:tc>
        <w:tc>
          <w:tcPr>
            <w:tcW w:w="4961" w:type="dxa"/>
          </w:tcPr>
          <w:p w:rsidR="00E10E4D" w:rsidRDefault="00341A63" w:rsidP="007E4C52">
            <w:r>
              <w:t xml:space="preserve">Prezentowana </w:t>
            </w:r>
            <w:r w:rsidR="007E4C52" w:rsidRPr="007E4C52">
              <w:t>wartości docelow</w:t>
            </w:r>
            <w:r>
              <w:t>a</w:t>
            </w:r>
            <w:r w:rsidR="007E4C52" w:rsidRPr="007E4C52">
              <w:t xml:space="preserve"> wskaźnika  „Liczba załatwionych spraw poprzez udostępnioną on-line usługę publiczną”</w:t>
            </w:r>
            <w:r w:rsidR="00E10E4D">
              <w:t xml:space="preserve">- 7600/rok </w:t>
            </w:r>
            <w:r w:rsidR="00DB206D">
              <w:t xml:space="preserve"> </w:t>
            </w:r>
            <w:r>
              <w:t>odzwierciedla wynik</w:t>
            </w:r>
            <w:r w:rsidR="00E10E4D">
              <w:t xml:space="preserve"> najnowszych </w:t>
            </w:r>
            <w:r>
              <w:t xml:space="preserve">badań i analiz </w:t>
            </w:r>
            <w:r w:rsidR="002B4736">
              <w:t xml:space="preserve"> będących podstawą </w:t>
            </w:r>
            <w:r>
              <w:t xml:space="preserve"> analizy popytu</w:t>
            </w:r>
            <w:r w:rsidR="00E10E4D">
              <w:t xml:space="preserve"> przeprowadzonej w związku z </w:t>
            </w:r>
            <w:r w:rsidR="00E10E4D">
              <w:t>aktualiz</w:t>
            </w:r>
            <w:r w:rsidR="00E10E4D">
              <w:t xml:space="preserve">acją </w:t>
            </w:r>
            <w:r w:rsidR="00E10E4D" w:rsidRPr="00200C6E">
              <w:rPr>
                <w:i/>
              </w:rPr>
              <w:t>Opisu założeń projektu</w:t>
            </w:r>
            <w:r w:rsidR="00E10E4D">
              <w:t xml:space="preserve">.  </w:t>
            </w:r>
          </w:p>
          <w:p w:rsidR="00E10E4D" w:rsidRDefault="00E10E4D" w:rsidP="007E4C52">
            <w:r>
              <w:t>W tym miejscu przypomnieć należy iż  p</w:t>
            </w:r>
            <w:r w:rsidRPr="007E4C52">
              <w:t>lanowana e-usługa umożliwi Prezesowi UKE realizację zadań wskazanych w ustawie Prawo telekomunikacyjne (art. 101 ust. 2, art. 189 ust. 2 pkt 3 lit. f oraz art. 192 ust. 1 pkt 5 i 9 oraz 13) dotyczących obowiązku podejmowania interwencji w sprawach dotyczących funkcjonowania rynku usług telekomunikacyjnych i pocztowych oraz rynku aparatury, w tym rynku urządzeń telekomunikacyjnych, z własnej inicjatywy lub wniesionych przez zainteresowane podmioty, w szczególności użytkowników i przedsiębiorców telekomunikacyjnych, w tym podejmowania decyzji w tych sprawach w zakresie określonym ww. ustawą oraz rozpatrywania skarg.</w:t>
            </w:r>
            <w:r>
              <w:t xml:space="preserve"> </w:t>
            </w:r>
            <w:r w:rsidR="002B4736">
              <w:t xml:space="preserve">Mając </w:t>
            </w:r>
            <w:r w:rsidR="00200C6E">
              <w:t xml:space="preserve">zatem </w:t>
            </w:r>
            <w:r w:rsidR="002B4736">
              <w:t xml:space="preserve">na uwadze zakres i  liczbę spraw  dotyczących  ww. zadań  prezentowana wartość docelowa wskaźnika, </w:t>
            </w:r>
            <w:r w:rsidR="009D1919">
              <w:t xml:space="preserve"> jak </w:t>
            </w:r>
            <w:r w:rsidR="00200C6E">
              <w:t>wykaz</w:t>
            </w:r>
            <w:r w:rsidR="009D1919">
              <w:t xml:space="preserve">ała </w:t>
            </w:r>
            <w:r w:rsidR="002B4736">
              <w:t xml:space="preserve">analiza popytu </w:t>
            </w:r>
            <w:r w:rsidR="009D1919">
              <w:t xml:space="preserve"> jest w pełni uzasadniona</w:t>
            </w:r>
            <w:r w:rsidR="002B4736">
              <w:t xml:space="preserve">.  </w:t>
            </w:r>
            <w:r>
              <w:t xml:space="preserve">  </w:t>
            </w:r>
          </w:p>
          <w:p w:rsidR="007E4C52" w:rsidRPr="007E4C52" w:rsidRDefault="00200C6E" w:rsidP="001C5EBF">
            <w:r>
              <w:rPr>
                <w:rFonts w:cstheme="minorHAnsi"/>
              </w:rPr>
              <w:lastRenderedPageBreak/>
              <w:t xml:space="preserve">Na etapie </w:t>
            </w:r>
            <w:r w:rsidR="009D1919" w:rsidRPr="00200C6E">
              <w:rPr>
                <w:rFonts w:cstheme="minorHAnsi"/>
              </w:rPr>
              <w:t>realizacji projektu informacj</w:t>
            </w:r>
            <w:r>
              <w:rPr>
                <w:rFonts w:cstheme="minorHAnsi"/>
              </w:rPr>
              <w:t>e</w:t>
            </w:r>
            <w:r w:rsidR="009D1919" w:rsidRPr="00200C6E">
              <w:rPr>
                <w:rFonts w:cstheme="minorHAnsi"/>
              </w:rPr>
              <w:t xml:space="preserve"> o planowej e-usłudze </w:t>
            </w:r>
            <w:r>
              <w:rPr>
                <w:rFonts w:cstheme="minorHAnsi"/>
              </w:rPr>
              <w:t xml:space="preserve">będą </w:t>
            </w:r>
            <w:r w:rsidRPr="00200C6E">
              <w:rPr>
                <w:rFonts w:cstheme="minorHAnsi"/>
              </w:rPr>
              <w:t>podawan</w:t>
            </w:r>
            <w:r>
              <w:rPr>
                <w:rFonts w:cstheme="minorHAnsi"/>
              </w:rPr>
              <w:t>e</w:t>
            </w:r>
            <w:r w:rsidRPr="00200C6E">
              <w:rPr>
                <w:rFonts w:cstheme="minorHAnsi"/>
              </w:rPr>
              <w:t xml:space="preserve"> </w:t>
            </w:r>
            <w:r w:rsidR="009D1919" w:rsidRPr="00200C6E">
              <w:rPr>
                <w:rFonts w:cstheme="minorHAnsi"/>
                <w:color w:val="000000"/>
              </w:rPr>
              <w:t xml:space="preserve">przy okazji </w:t>
            </w:r>
            <w:r>
              <w:rPr>
                <w:rFonts w:cstheme="minorHAnsi"/>
                <w:color w:val="000000"/>
              </w:rPr>
              <w:t xml:space="preserve">prowadzonych przez UKE  </w:t>
            </w:r>
            <w:r w:rsidR="009D1919" w:rsidRPr="00200C6E">
              <w:rPr>
                <w:rFonts w:cstheme="minorHAnsi"/>
                <w:color w:val="000000"/>
              </w:rPr>
              <w:t>działań informacyjnych i promocyjnych.</w:t>
            </w:r>
            <w:r>
              <w:rPr>
                <w:rFonts w:cstheme="minorHAnsi"/>
                <w:color w:val="000000"/>
              </w:rPr>
              <w:t xml:space="preserve"> Kontynuując</w:t>
            </w:r>
            <w:r w:rsidR="001C5EBF">
              <w:rPr>
                <w:rFonts w:cstheme="minorHAnsi"/>
                <w:color w:val="000000"/>
              </w:rPr>
              <w:t xml:space="preserve">,, informacje w zakresie  </w:t>
            </w:r>
            <w:r>
              <w:rPr>
                <w:rFonts w:cstheme="minorHAnsi"/>
                <w:color w:val="000000"/>
              </w:rPr>
              <w:t xml:space="preserve">planowanej </w:t>
            </w:r>
            <w:r w:rsidRPr="00200C6E">
              <w:rPr>
                <w:rFonts w:cstheme="minorHAnsi"/>
                <w:color w:val="000000"/>
              </w:rPr>
              <w:t xml:space="preserve"> e-usłudze będą prezentowane na stronie internetowej UKE, </w:t>
            </w:r>
            <w:r w:rsidRPr="00200C6E">
              <w:rPr>
                <w:rFonts w:cstheme="minorHAnsi"/>
              </w:rPr>
              <w:t>spotkaniach, konferencjach, targach branżowych</w:t>
            </w:r>
            <w:r w:rsidRPr="00200C6E">
              <w:rPr>
                <w:rFonts w:cstheme="minorHAnsi"/>
              </w:rPr>
              <w:t xml:space="preserve"> oraz </w:t>
            </w:r>
            <w:r w:rsidRPr="00200C6E">
              <w:rPr>
                <w:rFonts w:cstheme="minorHAnsi"/>
              </w:rPr>
              <w:t xml:space="preserve"> wydarzeniach</w:t>
            </w:r>
            <w:r w:rsidRPr="00200C6E">
              <w:rPr>
                <w:rFonts w:cstheme="minorHAnsi"/>
              </w:rPr>
              <w:t xml:space="preserve"> p</w:t>
            </w:r>
            <w:r w:rsidRPr="00200C6E">
              <w:rPr>
                <w:rFonts w:cstheme="minorHAnsi"/>
              </w:rPr>
              <w:t>romujących projekty unijne</w:t>
            </w:r>
            <w:r>
              <w:rPr>
                <w:rFonts w:cstheme="minorHAnsi"/>
              </w:rPr>
              <w:t xml:space="preserve">. </w:t>
            </w:r>
          </w:p>
        </w:tc>
      </w:tr>
      <w:tr w:rsidR="007E4C52" w:rsidRPr="007E4C52" w:rsidTr="00E45F8B">
        <w:trPr>
          <w:jc w:val="center"/>
        </w:trPr>
        <w:tc>
          <w:tcPr>
            <w:tcW w:w="562" w:type="dxa"/>
            <w:shd w:val="clear" w:color="auto" w:fill="auto"/>
          </w:tcPr>
          <w:p w:rsidR="007E4C52" w:rsidRPr="007E4C52" w:rsidRDefault="007E4C52" w:rsidP="007E4C52">
            <w:pPr>
              <w:rPr>
                <w:b/>
              </w:rPr>
            </w:pPr>
            <w:r w:rsidRPr="007E4C52">
              <w:rPr>
                <w:b/>
              </w:rPr>
              <w:lastRenderedPageBreak/>
              <w:t>2</w:t>
            </w:r>
          </w:p>
        </w:tc>
        <w:tc>
          <w:tcPr>
            <w:tcW w:w="1134" w:type="dxa"/>
            <w:shd w:val="clear" w:color="auto" w:fill="auto"/>
          </w:tcPr>
          <w:p w:rsidR="007E4C52" w:rsidRPr="007E4C52" w:rsidRDefault="007E4C52" w:rsidP="007E4C52">
            <w:pPr>
              <w:rPr>
                <w:b/>
              </w:rPr>
            </w:pPr>
            <w:proofErr w:type="spellStart"/>
            <w:r w:rsidRPr="007E4C52">
              <w:rPr>
                <w:b/>
              </w:rPr>
              <w:t>MFiPR</w:t>
            </w:r>
            <w:proofErr w:type="spellEnd"/>
          </w:p>
        </w:tc>
        <w:tc>
          <w:tcPr>
            <w:tcW w:w="1843" w:type="dxa"/>
            <w:shd w:val="clear" w:color="auto" w:fill="auto"/>
          </w:tcPr>
          <w:p w:rsidR="007E4C52" w:rsidRPr="007E4C52" w:rsidRDefault="007E4C52" w:rsidP="007E4C52">
            <w:r w:rsidRPr="007E4C52">
              <w:t>2.4. Produkty końcowe projektu</w:t>
            </w:r>
          </w:p>
          <w:p w:rsidR="007E4C52" w:rsidRPr="007E4C52" w:rsidRDefault="007E4C52" w:rsidP="007E4C52">
            <w:r w:rsidRPr="007E4C52">
              <w:t>5. GŁÓWNE RYZYKA</w:t>
            </w:r>
          </w:p>
          <w:p w:rsidR="007E4C52" w:rsidRPr="007E4C52" w:rsidRDefault="007E4C52" w:rsidP="007E4C52"/>
        </w:tc>
        <w:tc>
          <w:tcPr>
            <w:tcW w:w="4678" w:type="dxa"/>
            <w:shd w:val="clear" w:color="auto" w:fill="auto"/>
          </w:tcPr>
          <w:p w:rsidR="007E4C52" w:rsidRPr="007E4C52" w:rsidRDefault="007E4C52" w:rsidP="007E4C52">
            <w:r w:rsidRPr="007E4C52">
              <w:t>Projekt został zidentyfikowany w SZOOP POPC w dniu 12.08.2021 r. w przekazanej fiszce wskazano jako okres realizacji: III kwartał 2021 r. - II kwartał 2023 r. Obecnie zgodnie z opisem założeń projektu wszystkie produkty końcowe projektu mają zostać dostarczone do 11-2023. Zwracamy uwagę na znaczne ryzyko takiego zdefiniowania projektu. Wskazany termin jest bardzo bliski terminowi zakończenia okresu kwalifikowalności wydatków w perspektywie finansowej 2014-2020.</w:t>
            </w:r>
          </w:p>
          <w:p w:rsidR="007E4C52" w:rsidRPr="007E4C52" w:rsidRDefault="007E4C52" w:rsidP="007E4C52"/>
          <w:p w:rsidR="007E4C52" w:rsidRPr="007E4C52" w:rsidRDefault="007E4C52" w:rsidP="007E4C52">
            <w:r w:rsidRPr="007E4C52">
              <w:t xml:space="preserve">W opisie założeń projektu nie zidentyfikowano </w:t>
            </w:r>
            <w:proofErr w:type="spellStart"/>
            <w:r w:rsidRPr="007E4C52">
              <w:t>ryzyk</w:t>
            </w:r>
            <w:proofErr w:type="spellEnd"/>
            <w:r w:rsidRPr="007E4C52">
              <w:t xml:space="preserve"> związanych z przyjętym harmonogramem projektu w kontekście finansowania projektu ze środków pochodzących z funduszy UE w perspektywie 2014-2020.</w:t>
            </w:r>
          </w:p>
        </w:tc>
        <w:tc>
          <w:tcPr>
            <w:tcW w:w="2835" w:type="dxa"/>
            <w:shd w:val="clear" w:color="auto" w:fill="auto"/>
          </w:tcPr>
          <w:p w:rsidR="007E4C52" w:rsidRPr="007E4C52" w:rsidRDefault="007E4C52" w:rsidP="007E4C52"/>
        </w:tc>
        <w:tc>
          <w:tcPr>
            <w:tcW w:w="4961" w:type="dxa"/>
          </w:tcPr>
          <w:p w:rsidR="007E4C52" w:rsidRPr="007E4C52" w:rsidRDefault="007E4C52" w:rsidP="007E4C52">
            <w:r w:rsidRPr="007E4C52">
              <w:rPr>
                <w:b/>
              </w:rPr>
              <w:t>Uwaga uwzględniona</w:t>
            </w:r>
            <w:r w:rsidRPr="007E4C52">
              <w:t xml:space="preserve"> –  w Opisie założeń projektu  w pkt 5.1 </w:t>
            </w:r>
            <w:r w:rsidRPr="007E4C52">
              <w:rPr>
                <w:i/>
              </w:rPr>
              <w:t>Ryzyka wpływające na realizację projektu</w:t>
            </w:r>
            <w:r w:rsidRPr="007E4C52">
              <w:t xml:space="preserve"> uwzględniono ryzyko </w:t>
            </w:r>
          </w:p>
          <w:p w:rsidR="007E4C52" w:rsidRPr="007E4C52" w:rsidRDefault="007E4C52" w:rsidP="007E4C52">
            <w:r w:rsidRPr="007E4C52">
              <w:t xml:space="preserve">„Nieosiągnięcia ostatniego kamienia milowego w okresie  kwalifikowalności wydatków w perspektywie finansowej 2014-2020”.  </w:t>
            </w:r>
          </w:p>
          <w:p w:rsidR="007E4C52" w:rsidRPr="007E4C52" w:rsidRDefault="007E4C52" w:rsidP="007E4C52"/>
          <w:p w:rsidR="007E4C52" w:rsidRPr="007E4C52" w:rsidRDefault="007E4C52" w:rsidP="007E4C52"/>
        </w:tc>
      </w:tr>
      <w:tr w:rsidR="007E4C52" w:rsidRPr="007E4C52" w:rsidTr="00E45F8B">
        <w:trPr>
          <w:jc w:val="center"/>
        </w:trPr>
        <w:tc>
          <w:tcPr>
            <w:tcW w:w="562" w:type="dxa"/>
            <w:shd w:val="clear" w:color="auto" w:fill="auto"/>
          </w:tcPr>
          <w:p w:rsidR="007E4C52" w:rsidRPr="007E4C52" w:rsidRDefault="007E4C52" w:rsidP="007E4C52">
            <w:pPr>
              <w:rPr>
                <w:b/>
              </w:rPr>
            </w:pPr>
            <w:r w:rsidRPr="007E4C52">
              <w:rPr>
                <w:b/>
              </w:rPr>
              <w:t>3</w:t>
            </w:r>
          </w:p>
        </w:tc>
        <w:tc>
          <w:tcPr>
            <w:tcW w:w="1134" w:type="dxa"/>
            <w:shd w:val="clear" w:color="auto" w:fill="auto"/>
          </w:tcPr>
          <w:p w:rsidR="007E4C52" w:rsidRPr="007E4C52" w:rsidRDefault="007E4C52" w:rsidP="007E4C52">
            <w:pPr>
              <w:rPr>
                <w:b/>
              </w:rPr>
            </w:pPr>
            <w:proofErr w:type="spellStart"/>
            <w:r w:rsidRPr="007E4C52">
              <w:rPr>
                <w:b/>
              </w:rPr>
              <w:t>MFiPR</w:t>
            </w:r>
            <w:proofErr w:type="spellEnd"/>
          </w:p>
        </w:tc>
        <w:tc>
          <w:tcPr>
            <w:tcW w:w="1843" w:type="dxa"/>
            <w:shd w:val="clear" w:color="auto" w:fill="auto"/>
          </w:tcPr>
          <w:p w:rsidR="007E4C52" w:rsidRPr="007E4C52" w:rsidRDefault="007E4C52" w:rsidP="007E4C52">
            <w:r w:rsidRPr="007E4C52">
              <w:t>3. KAMIENIE MILOWE</w:t>
            </w:r>
          </w:p>
          <w:p w:rsidR="007E4C52" w:rsidRPr="007E4C52" w:rsidRDefault="007E4C52" w:rsidP="007E4C52">
            <w:r w:rsidRPr="007E4C52">
              <w:lastRenderedPageBreak/>
              <w:t>5. GŁÓWNE RYZYKA</w:t>
            </w:r>
          </w:p>
        </w:tc>
        <w:tc>
          <w:tcPr>
            <w:tcW w:w="4678" w:type="dxa"/>
            <w:shd w:val="clear" w:color="auto" w:fill="auto"/>
          </w:tcPr>
          <w:p w:rsidR="007E4C52" w:rsidRPr="007E4C52" w:rsidRDefault="007E4C52" w:rsidP="007E4C52">
            <w:r w:rsidRPr="007E4C52">
              <w:lastRenderedPageBreak/>
              <w:t xml:space="preserve">Zwracamy uwagę na znaczne ryzyko związane z zaplanowanym harmonogramem kamieni milowych. Ostatni kamień milowy „Odebrany </w:t>
            </w:r>
            <w:r w:rsidRPr="007E4C52">
              <w:lastRenderedPageBreak/>
              <w:t xml:space="preserve">System CRKE” ma termin realizacji 2023-10-30. </w:t>
            </w:r>
            <w:r w:rsidRPr="007E4C52">
              <w:cr/>
              <w:t>Jest to data bardzo bliska terminowi zakończenia okresu kwalifikowalności wydatków w perspektywie finansowej 2014-2020.</w:t>
            </w:r>
          </w:p>
          <w:p w:rsidR="007E4C52" w:rsidRPr="007E4C52" w:rsidRDefault="007E4C52" w:rsidP="007E4C52"/>
          <w:p w:rsidR="007E4C52" w:rsidRPr="007E4C52" w:rsidRDefault="007E4C52" w:rsidP="007E4C52">
            <w:r w:rsidRPr="007E4C52">
              <w:t xml:space="preserve">W opisie założeń projektu nie zidentyfikowano </w:t>
            </w:r>
            <w:proofErr w:type="spellStart"/>
            <w:r w:rsidRPr="007E4C52">
              <w:t>ryzyk</w:t>
            </w:r>
            <w:proofErr w:type="spellEnd"/>
            <w:r w:rsidRPr="007E4C52">
              <w:t xml:space="preserve"> związanych z przyjętym harmonogramem projektu w kontekście finansowania projektu ze środków pochodzących z funduszy UE w perspektywie 2014-2020.</w:t>
            </w:r>
          </w:p>
        </w:tc>
        <w:tc>
          <w:tcPr>
            <w:tcW w:w="2835" w:type="dxa"/>
            <w:shd w:val="clear" w:color="auto" w:fill="auto"/>
          </w:tcPr>
          <w:p w:rsidR="007E4C52" w:rsidRPr="007E4C52" w:rsidRDefault="007E4C52" w:rsidP="007E4C52"/>
        </w:tc>
        <w:tc>
          <w:tcPr>
            <w:tcW w:w="4961" w:type="dxa"/>
          </w:tcPr>
          <w:p w:rsidR="007E4C52" w:rsidRPr="007E4C52" w:rsidRDefault="007E4C52" w:rsidP="007E4C52"/>
          <w:p w:rsidR="007E4C52" w:rsidRPr="007E4C52" w:rsidRDefault="007E4C52" w:rsidP="007E4C52">
            <w:r w:rsidRPr="007E4C52">
              <w:t xml:space="preserve">jw.  </w:t>
            </w:r>
          </w:p>
        </w:tc>
      </w:tr>
      <w:tr w:rsidR="007E4C52" w:rsidRPr="007E4C52" w:rsidTr="00E45F8B">
        <w:trPr>
          <w:jc w:val="center"/>
        </w:trPr>
        <w:tc>
          <w:tcPr>
            <w:tcW w:w="562" w:type="dxa"/>
            <w:shd w:val="clear" w:color="auto" w:fill="auto"/>
          </w:tcPr>
          <w:p w:rsidR="007E4C52" w:rsidRPr="007E4C52" w:rsidRDefault="007E4C52" w:rsidP="007E4C52">
            <w:pPr>
              <w:rPr>
                <w:b/>
              </w:rPr>
            </w:pPr>
            <w:r w:rsidRPr="007E4C52">
              <w:rPr>
                <w:b/>
              </w:rPr>
              <w:t>4</w:t>
            </w:r>
          </w:p>
        </w:tc>
        <w:tc>
          <w:tcPr>
            <w:tcW w:w="1134" w:type="dxa"/>
            <w:shd w:val="clear" w:color="auto" w:fill="auto"/>
          </w:tcPr>
          <w:p w:rsidR="007E4C52" w:rsidRPr="007E4C52" w:rsidRDefault="007E4C52" w:rsidP="007E4C52">
            <w:pPr>
              <w:rPr>
                <w:b/>
              </w:rPr>
            </w:pPr>
            <w:proofErr w:type="spellStart"/>
            <w:r w:rsidRPr="007E4C52">
              <w:rPr>
                <w:b/>
              </w:rPr>
              <w:t>MFiPR</w:t>
            </w:r>
            <w:proofErr w:type="spellEnd"/>
          </w:p>
        </w:tc>
        <w:tc>
          <w:tcPr>
            <w:tcW w:w="1843" w:type="dxa"/>
            <w:shd w:val="clear" w:color="auto" w:fill="auto"/>
          </w:tcPr>
          <w:p w:rsidR="007E4C52" w:rsidRPr="007E4C52" w:rsidRDefault="007E4C52" w:rsidP="007E4C52">
            <w:r w:rsidRPr="007E4C52">
              <w:t>Całkowita wartość projektu</w:t>
            </w:r>
          </w:p>
        </w:tc>
        <w:tc>
          <w:tcPr>
            <w:tcW w:w="4678" w:type="dxa"/>
            <w:shd w:val="clear" w:color="auto" w:fill="auto"/>
          </w:tcPr>
          <w:p w:rsidR="007E4C52" w:rsidRPr="007E4C52" w:rsidRDefault="007E4C52" w:rsidP="007E4C52">
            <w:r w:rsidRPr="007E4C52">
              <w:t xml:space="preserve">Dostępne środki w II osi priorytetowej są wystarczające do dofinansowania projektu. </w:t>
            </w:r>
          </w:p>
          <w:p w:rsidR="007E4C52" w:rsidRPr="007E4C52" w:rsidRDefault="007E4C52" w:rsidP="007E4C52"/>
          <w:p w:rsidR="007E4C52" w:rsidRPr="007E4C52" w:rsidRDefault="007E4C52" w:rsidP="007E4C52">
            <w:r w:rsidRPr="007E4C52">
              <w:t xml:space="preserve">Należy jednak zwrócić uwagę na rozbieżności w informacjach o wartości projektu. </w:t>
            </w:r>
          </w:p>
          <w:p w:rsidR="007E4C52" w:rsidRPr="007E4C52" w:rsidRDefault="007E4C52" w:rsidP="007E4C52">
            <w:r w:rsidRPr="007E4C52">
              <w:t>Projekt został zidentyfikowany (jest wpisany w SZOOP) w szacowanej wartości dofinansowania UE na poziomie 22 909 019,40 zł.</w:t>
            </w:r>
          </w:p>
          <w:p w:rsidR="007E4C52" w:rsidRPr="007E4C52" w:rsidRDefault="007E4C52" w:rsidP="007E4C52">
            <w:r w:rsidRPr="007E4C52">
              <w:t>Zgodnie ze złożonym wnioskiem o dofinansowanie z aktualnym statusem "w trakcie oceny" wartość dofinansowania ze środków UE wynosi 26 035 447,70 zł.</w:t>
            </w:r>
          </w:p>
          <w:p w:rsidR="007E4C52" w:rsidRPr="007E4C52" w:rsidRDefault="007E4C52" w:rsidP="007E4C52">
            <w:r w:rsidRPr="007E4C52">
              <w:t>Wskazana w opisie założeń kwota całkowita to 24 000 000 mln zł, co daje dofinansowanie ze środków UE na poziomie 20 311 200 zł.</w:t>
            </w:r>
          </w:p>
        </w:tc>
        <w:tc>
          <w:tcPr>
            <w:tcW w:w="2835" w:type="dxa"/>
            <w:shd w:val="clear" w:color="auto" w:fill="auto"/>
          </w:tcPr>
          <w:p w:rsidR="007E4C52" w:rsidRPr="007E4C52" w:rsidRDefault="007E4C52" w:rsidP="007E4C52">
            <w:r w:rsidRPr="007E4C52">
              <w:t>Proszę o weryfikację faktycznej wartości projektu.</w:t>
            </w:r>
          </w:p>
        </w:tc>
        <w:tc>
          <w:tcPr>
            <w:tcW w:w="4961" w:type="dxa"/>
          </w:tcPr>
          <w:p w:rsidR="007E4C52" w:rsidRPr="007E4C52" w:rsidRDefault="007E4C52" w:rsidP="007E4C52">
            <w:r w:rsidRPr="007E4C52">
              <w:t xml:space="preserve">W trakcie formułowania pierwotnych założeń projektu poszczególne funkcjonalności  systemu CRKE zidentyfikowano jako odrębne e-usługi przyjmując, iż taka identyfikacja pozwoli zwiększyć ramy wykonania w ramach Działania 2.1 POPC.  Dodatkowo, wśród wskazanych funkcjonalności uwzględniono moduł szkoleń, który nie jest wpisuje się w zakres wsparcia określony dla Działania 2.1. </w:t>
            </w:r>
          </w:p>
          <w:p w:rsidR="007E4C52" w:rsidRPr="007E4C52" w:rsidRDefault="007E4C52" w:rsidP="007E4C52">
            <w:r w:rsidRPr="007E4C52">
              <w:t xml:space="preserve">Efektem powyższego jest konieczność wprowadzenia  zmian w Opisie Założeń Projektu Informatycznego   skutkujących m.in.  zmniejszeniem  szacowanej  wartości  kosztów kwalifikowanych do  24 000 000 zł, w tym dofinansowania ze środków UE do 20 311 200 zł.  </w:t>
            </w:r>
            <w:bookmarkStart w:id="0" w:name="_GoBack"/>
            <w:bookmarkEnd w:id="0"/>
          </w:p>
        </w:tc>
      </w:tr>
      <w:tr w:rsidR="007E4C52" w:rsidRPr="007E4C52" w:rsidTr="00E45F8B">
        <w:trPr>
          <w:jc w:val="center"/>
        </w:trPr>
        <w:tc>
          <w:tcPr>
            <w:tcW w:w="562" w:type="dxa"/>
            <w:shd w:val="clear" w:color="auto" w:fill="auto"/>
          </w:tcPr>
          <w:p w:rsidR="007E4C52" w:rsidRPr="007E4C52" w:rsidRDefault="007E4C52" w:rsidP="007E4C52">
            <w:pPr>
              <w:rPr>
                <w:b/>
              </w:rPr>
            </w:pPr>
            <w:r w:rsidRPr="007E4C52">
              <w:rPr>
                <w:b/>
              </w:rPr>
              <w:lastRenderedPageBreak/>
              <w:t>5</w:t>
            </w:r>
          </w:p>
        </w:tc>
        <w:tc>
          <w:tcPr>
            <w:tcW w:w="1134" w:type="dxa"/>
            <w:shd w:val="clear" w:color="auto" w:fill="auto"/>
          </w:tcPr>
          <w:p w:rsidR="007E4C52" w:rsidRPr="007E4C52" w:rsidRDefault="007E4C52" w:rsidP="007E4C52">
            <w:pPr>
              <w:rPr>
                <w:b/>
              </w:rPr>
            </w:pPr>
            <w:r w:rsidRPr="007E4C52">
              <w:rPr>
                <w:b/>
              </w:rPr>
              <w:t>MSWiA</w:t>
            </w:r>
          </w:p>
        </w:tc>
        <w:tc>
          <w:tcPr>
            <w:tcW w:w="1843" w:type="dxa"/>
            <w:shd w:val="clear" w:color="auto" w:fill="auto"/>
          </w:tcPr>
          <w:p w:rsidR="007E4C52" w:rsidRPr="007E4C52" w:rsidRDefault="007E4C52" w:rsidP="007E4C52">
            <w:r w:rsidRPr="007E4C52">
              <w:t>2.1. Cele i korzyści wynikające z projektu,</w:t>
            </w:r>
          </w:p>
          <w:p w:rsidR="007E4C52" w:rsidRPr="007E4C52" w:rsidRDefault="007E4C52" w:rsidP="007E4C52"/>
          <w:p w:rsidR="007E4C52" w:rsidRPr="007E4C52" w:rsidRDefault="007E4C52" w:rsidP="007E4C52">
            <w:r w:rsidRPr="007E4C52">
              <w:t>wiersz „cel strategiczny”</w:t>
            </w:r>
          </w:p>
        </w:tc>
        <w:tc>
          <w:tcPr>
            <w:tcW w:w="4678" w:type="dxa"/>
            <w:shd w:val="clear" w:color="auto" w:fill="auto"/>
          </w:tcPr>
          <w:p w:rsidR="007E4C52" w:rsidRPr="007E4C52" w:rsidRDefault="007E4C52" w:rsidP="007E4C52">
            <w:r w:rsidRPr="007E4C52">
              <w:t>W opisie założeń projektu wskazano, że projekt wpisuje się m.in. w dokument strategiczny -</w:t>
            </w:r>
          </w:p>
          <w:p w:rsidR="007E4C52" w:rsidRPr="007E4C52" w:rsidRDefault="007E4C52" w:rsidP="007E4C52">
            <w:pPr>
              <w:rPr>
                <w:i/>
              </w:rPr>
            </w:pPr>
            <w:r w:rsidRPr="007E4C52">
              <w:rPr>
                <w:i/>
              </w:rPr>
              <w:t xml:space="preserve"> Strategia „Sprawne i Nowoczesne Państwo 2030” (projekt) cel szczegółowy III. Podniesienie sprawności realizacji zadań państwa poprzez wykorzystanie technologii cyfrowych i zmianę sposobu działania stosownie do możliwości, jakie stwarza technologia.</w:t>
            </w:r>
          </w:p>
          <w:p w:rsidR="007E4C52" w:rsidRPr="007E4C52" w:rsidRDefault="007E4C52" w:rsidP="007E4C52">
            <w:r w:rsidRPr="007E4C52">
              <w:t>W ocenie MSWiA przywoływanie projektu dokumentu strategicznego, którego ostateczny kształt nie jest znany i ustalony nie znajduje uzasadnienia.</w:t>
            </w:r>
          </w:p>
        </w:tc>
        <w:tc>
          <w:tcPr>
            <w:tcW w:w="2835" w:type="dxa"/>
            <w:shd w:val="clear" w:color="auto" w:fill="auto"/>
          </w:tcPr>
          <w:p w:rsidR="007E4C52" w:rsidRPr="007E4C52" w:rsidRDefault="007E4C52" w:rsidP="007E4C52">
            <w:r w:rsidRPr="007E4C52">
              <w:t xml:space="preserve">Proponujemy usunąć zapis dotyczący </w:t>
            </w:r>
            <w:r w:rsidRPr="007E4C52">
              <w:rPr>
                <w:i/>
              </w:rPr>
              <w:t>Strategii „Sprawne i Nowoczesne Państwo 2030” (projekt).</w:t>
            </w:r>
          </w:p>
        </w:tc>
        <w:tc>
          <w:tcPr>
            <w:tcW w:w="4961" w:type="dxa"/>
          </w:tcPr>
          <w:p w:rsidR="007E4C52" w:rsidRPr="007E4C52" w:rsidRDefault="007E4C52" w:rsidP="007E4C52">
            <w:r w:rsidRPr="007E4C52">
              <w:rPr>
                <w:b/>
              </w:rPr>
              <w:t>Uwaga uwzględniona</w:t>
            </w:r>
            <w:r w:rsidRPr="007E4C52">
              <w:t xml:space="preserve"> – w Opisie założeń projektu  usunięto zapis  dotyczący </w:t>
            </w:r>
            <w:r w:rsidRPr="007E4C52">
              <w:rPr>
                <w:i/>
              </w:rPr>
              <w:t>Strategii „Sprawne i Nowoczesne Państwo 2030” (projekt).</w:t>
            </w:r>
          </w:p>
        </w:tc>
      </w:tr>
    </w:tbl>
    <w:p w:rsidR="00D7297A" w:rsidRDefault="00D7297A"/>
    <w:sectPr w:rsidR="00D7297A" w:rsidSect="007E4C5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C52"/>
    <w:rsid w:val="001C5EBF"/>
    <w:rsid w:val="00200C6E"/>
    <w:rsid w:val="002B4736"/>
    <w:rsid w:val="00341A63"/>
    <w:rsid w:val="003D0E94"/>
    <w:rsid w:val="007E4C52"/>
    <w:rsid w:val="009D1919"/>
    <w:rsid w:val="00D7297A"/>
    <w:rsid w:val="00DB206D"/>
    <w:rsid w:val="00E10E4D"/>
    <w:rsid w:val="00E31B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3CE79"/>
  <w15:chartTrackingRefBased/>
  <w15:docId w15:val="{B7689CC0-3336-4677-BAA5-93CD95C30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9D191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9D19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8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897</Words>
  <Characters>5388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Wudarczyk-Czapczuk Jolanta</dc:creator>
  <cp:keywords/>
  <dc:description/>
  <cp:lastModifiedBy>Wudarczyk-Czapczuk Jolanta</cp:lastModifiedBy>
  <cp:revision>2</cp:revision>
  <dcterms:created xsi:type="dcterms:W3CDTF">2022-03-17T15:57:00Z</dcterms:created>
  <dcterms:modified xsi:type="dcterms:W3CDTF">2022-03-17T15:57:00Z</dcterms:modified>
</cp:coreProperties>
</file>